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0A" w:rsidRDefault="0061320A" w:rsidP="000E748E">
      <w:pPr>
        <w:snapToGrid w:val="0"/>
        <w:spacing w:line="360" w:lineRule="auto"/>
        <w:ind w:firstLineChars="500" w:firstLine="1600"/>
        <w:outlineLvl w:val="0"/>
        <w:rPr>
          <w:rFonts w:ascii="黑体" w:eastAsia="黑体" w:hAnsi="黑体"/>
          <w:bCs/>
          <w:sz w:val="32"/>
          <w:szCs w:val="32"/>
        </w:rPr>
      </w:pPr>
      <w:bookmarkStart w:id="0" w:name="_Toc478489627"/>
      <w:r>
        <w:rPr>
          <w:rFonts w:ascii="黑体" w:eastAsia="黑体" w:hAnsi="黑体" w:hint="eastAsia"/>
          <w:bCs/>
          <w:sz w:val="32"/>
          <w:szCs w:val="32"/>
        </w:rPr>
        <w:t>重点高耗能行业××企业自查报告</w:t>
      </w:r>
      <w:bookmarkEnd w:id="0"/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一、企业概况</w:t>
      </w:r>
    </w:p>
    <w:p w:rsid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 w:hint="eastAsia"/>
          <w:sz w:val="32"/>
          <w:szCs w:val="32"/>
        </w:rPr>
        <w:t>企业简介（含生产规模、生产线数量、生产线</w:t>
      </w:r>
      <w:r w:rsidRPr="0061320A">
        <w:rPr>
          <w:rFonts w:ascii="仿宋" w:eastAsia="仿宋" w:hAnsi="仿宋"/>
          <w:sz w:val="32"/>
          <w:szCs w:val="32"/>
        </w:rPr>
        <w:t>投产日期、主</w:t>
      </w:r>
      <w:r w:rsidRPr="0061320A">
        <w:rPr>
          <w:rFonts w:ascii="仿宋" w:eastAsia="仿宋" w:hAnsi="仿宋" w:hint="eastAsia"/>
          <w:sz w:val="32"/>
          <w:szCs w:val="32"/>
        </w:rPr>
        <w:t>机装备、余热发电设施套数及装机容量等信息）；</w:t>
      </w: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 w:hint="eastAsia"/>
          <w:sz w:val="32"/>
          <w:szCs w:val="32"/>
        </w:rPr>
        <w:t>年</w:t>
      </w:r>
      <w:r w:rsidRPr="0061320A">
        <w:rPr>
          <w:rFonts w:ascii="仿宋" w:eastAsia="仿宋" w:hAnsi="仿宋"/>
          <w:sz w:val="32"/>
          <w:szCs w:val="32"/>
        </w:rPr>
        <w:t>企业能源消耗总量</w:t>
      </w:r>
      <w:r w:rsidRPr="0061320A">
        <w:rPr>
          <w:rFonts w:ascii="仿宋" w:eastAsia="仿宋" w:hAnsi="仿宋" w:hint="eastAsia"/>
          <w:sz w:val="32"/>
          <w:szCs w:val="32"/>
        </w:rPr>
        <w:t>及能源消耗种类和数量；</w:t>
      </w: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/>
          <w:sz w:val="32"/>
          <w:szCs w:val="32"/>
        </w:rPr>
        <w:t>企业</w:t>
      </w:r>
      <w:r w:rsidRPr="0061320A">
        <w:rPr>
          <w:rFonts w:ascii="仿宋" w:eastAsia="仿宋" w:hAnsi="仿宋" w:hint="eastAsia"/>
          <w:sz w:val="32"/>
          <w:szCs w:val="32"/>
        </w:rPr>
        <w:t>生产经营情况。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二、能耗情况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/>
          <w:sz w:val="32"/>
          <w:szCs w:val="32"/>
        </w:rPr>
        <w:t>企业全年</w:t>
      </w:r>
      <w:r w:rsidRPr="0061320A">
        <w:rPr>
          <w:rFonts w:ascii="仿宋" w:eastAsia="仿宋" w:hAnsi="仿宋" w:hint="eastAsia"/>
          <w:sz w:val="32"/>
          <w:szCs w:val="32"/>
        </w:rPr>
        <w:t>各类</w:t>
      </w:r>
      <w:r w:rsidRPr="0061320A">
        <w:rPr>
          <w:rFonts w:ascii="仿宋" w:eastAsia="仿宋" w:hAnsi="仿宋"/>
          <w:sz w:val="32"/>
          <w:szCs w:val="32"/>
        </w:rPr>
        <w:t>产品产量和能源消耗情况。企业应提供</w:t>
      </w:r>
      <w:r w:rsidRPr="0061320A">
        <w:rPr>
          <w:rFonts w:ascii="仿宋" w:eastAsia="仿宋" w:hAnsi="仿宋" w:hint="eastAsia"/>
          <w:sz w:val="32"/>
          <w:szCs w:val="32"/>
        </w:rPr>
        <w:t>全</w:t>
      </w:r>
      <w:r w:rsidRPr="0061320A">
        <w:rPr>
          <w:rFonts w:ascii="仿宋" w:eastAsia="仿宋" w:hAnsi="仿宋"/>
          <w:sz w:val="32"/>
          <w:szCs w:val="32"/>
        </w:rPr>
        <w:t>年1~12月</w:t>
      </w:r>
      <w:r w:rsidRPr="0061320A">
        <w:rPr>
          <w:rFonts w:ascii="仿宋" w:eastAsia="仿宋" w:hAnsi="仿宋" w:hint="eastAsia"/>
          <w:sz w:val="32"/>
          <w:szCs w:val="32"/>
        </w:rPr>
        <w:t>生产台帐和</w:t>
      </w:r>
      <w:r w:rsidRPr="0061320A">
        <w:rPr>
          <w:rFonts w:ascii="仿宋" w:eastAsia="仿宋" w:hAnsi="仿宋"/>
          <w:sz w:val="32"/>
          <w:szCs w:val="32"/>
        </w:rPr>
        <w:t>能源消耗台帐备查。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三、能耗限额标准达标情况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企业对照</w:t>
      </w:r>
      <w:r>
        <w:rPr>
          <w:rFonts w:ascii="仿宋" w:eastAsia="仿宋" w:hAnsi="仿宋" w:hint="eastAsia"/>
          <w:sz w:val="32"/>
          <w:szCs w:val="32"/>
        </w:rPr>
        <w:t>所属行业国家标准</w:t>
      </w:r>
      <w:r w:rsidRPr="0061320A">
        <w:rPr>
          <w:rFonts w:ascii="仿宋" w:eastAsia="仿宋" w:hAnsi="仿宋"/>
          <w:sz w:val="32"/>
          <w:szCs w:val="32"/>
        </w:rPr>
        <w:t>，</w:t>
      </w:r>
      <w:r w:rsidRPr="0061320A">
        <w:rPr>
          <w:rFonts w:ascii="仿宋" w:eastAsia="仿宋" w:hAnsi="仿宋" w:hint="eastAsia"/>
          <w:sz w:val="32"/>
          <w:szCs w:val="32"/>
        </w:rPr>
        <w:t>分析说明企业</w:t>
      </w:r>
      <w:r w:rsidRPr="0061320A">
        <w:rPr>
          <w:rFonts w:ascii="仿宋" w:eastAsia="仿宋" w:hAnsi="仿宋"/>
          <w:sz w:val="32"/>
          <w:szCs w:val="32"/>
        </w:rPr>
        <w:t>能耗达标情况</w:t>
      </w:r>
      <w:r>
        <w:rPr>
          <w:rFonts w:ascii="仿宋" w:eastAsia="仿宋" w:hAnsi="仿宋" w:hint="eastAsia"/>
          <w:sz w:val="32"/>
          <w:szCs w:val="32"/>
        </w:rPr>
        <w:t>。有特殊情况予以说明。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四、</w:t>
      </w:r>
      <w:r w:rsidRPr="0061320A">
        <w:rPr>
          <w:rFonts w:ascii="仿宋" w:eastAsia="仿宋" w:hAnsi="仿宋" w:hint="eastAsia"/>
          <w:sz w:val="32"/>
          <w:szCs w:val="32"/>
        </w:rPr>
        <w:t>生产计量、</w:t>
      </w:r>
      <w:r w:rsidRPr="0061320A">
        <w:rPr>
          <w:rFonts w:ascii="仿宋" w:eastAsia="仿宋" w:hAnsi="仿宋"/>
          <w:sz w:val="32"/>
          <w:szCs w:val="32"/>
        </w:rPr>
        <w:t>能源计量器具配备情况</w:t>
      </w:r>
    </w:p>
    <w:p w:rsidR="0061320A" w:rsidRPr="00047E1B" w:rsidRDefault="0061320A" w:rsidP="00047E1B">
      <w:pPr>
        <w:pStyle w:val="1"/>
        <w:shd w:val="clear" w:color="auto" w:fill="FCFCFC"/>
        <w:wordWrap w:val="0"/>
        <w:spacing w:before="0" w:beforeAutospacing="0" w:after="0" w:afterAutospacing="0"/>
        <w:ind w:right="-58" w:firstLineChars="196" w:firstLine="627"/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</w:pPr>
      <w:r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对</w:t>
      </w:r>
      <w:r w:rsidRPr="00047E1B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照</w:t>
      </w:r>
      <w:r w:rsidR="00047E1B"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用能单位能源计量器具配备和管理通则</w:t>
      </w:r>
      <w:r w:rsid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（</w:t>
      </w:r>
      <w:r w:rsidR="00047E1B"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GB17167—2006</w:t>
      </w:r>
      <w:r w:rsid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）</w:t>
      </w:r>
      <w:r w:rsidR="000E748E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，</w:t>
      </w:r>
      <w:r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填报企业</w:t>
      </w:r>
      <w:r w:rsidRPr="00047E1B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进出用能单位</w:t>
      </w:r>
      <w:r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、</w:t>
      </w:r>
      <w:r w:rsidRPr="00047E1B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进出主要次级用能单位</w:t>
      </w:r>
      <w:r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、</w:t>
      </w:r>
      <w:r w:rsidRPr="00047E1B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主要用能设备</w:t>
      </w:r>
      <w:r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三级</w:t>
      </w:r>
      <w:r w:rsidRPr="00047E1B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能源计量器具配备和管理</w:t>
      </w:r>
      <w:r w:rsidRPr="00047E1B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情况。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五、能源管理情况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企业</w:t>
      </w:r>
      <w:r w:rsidRPr="0061320A">
        <w:rPr>
          <w:rFonts w:ascii="仿宋" w:eastAsia="仿宋" w:hAnsi="仿宋" w:hint="eastAsia"/>
          <w:sz w:val="32"/>
          <w:szCs w:val="32"/>
        </w:rPr>
        <w:t>填写</w:t>
      </w:r>
      <w:r w:rsidRPr="0061320A">
        <w:rPr>
          <w:rFonts w:ascii="仿宋" w:eastAsia="仿宋" w:hAnsi="仿宋"/>
          <w:sz w:val="32"/>
          <w:szCs w:val="32"/>
        </w:rPr>
        <w:t>能源管理体系建设</w:t>
      </w:r>
      <w:r w:rsidRPr="0061320A">
        <w:rPr>
          <w:rFonts w:ascii="仿宋" w:eastAsia="仿宋" w:hAnsi="仿宋" w:hint="eastAsia"/>
          <w:sz w:val="32"/>
          <w:szCs w:val="32"/>
        </w:rPr>
        <w:t>及</w:t>
      </w:r>
      <w:r w:rsidRPr="0061320A">
        <w:rPr>
          <w:rFonts w:ascii="仿宋" w:eastAsia="仿宋" w:hAnsi="仿宋"/>
          <w:sz w:val="32"/>
          <w:szCs w:val="32"/>
        </w:rPr>
        <w:t>认证</w:t>
      </w:r>
      <w:r w:rsidR="00511C06">
        <w:rPr>
          <w:rFonts w:ascii="仿宋" w:eastAsia="仿宋" w:hAnsi="仿宋"/>
          <w:sz w:val="32"/>
          <w:szCs w:val="32"/>
        </w:rPr>
        <w:t>、能源管理有关规章制度建立</w:t>
      </w:r>
      <w:r w:rsidRPr="0061320A">
        <w:rPr>
          <w:rFonts w:ascii="仿宋" w:eastAsia="仿宋" w:hAnsi="仿宋"/>
          <w:sz w:val="32"/>
          <w:szCs w:val="32"/>
        </w:rPr>
        <w:t>和运营情况等。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六、节能措施和节能项目情况</w:t>
      </w:r>
    </w:p>
    <w:p w:rsidR="00511C06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企业</w:t>
      </w:r>
      <w:r w:rsidRPr="0061320A">
        <w:rPr>
          <w:rFonts w:ascii="仿宋" w:eastAsia="仿宋" w:hAnsi="仿宋" w:hint="eastAsia"/>
          <w:sz w:val="32"/>
          <w:szCs w:val="32"/>
        </w:rPr>
        <w:t>填写</w:t>
      </w: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 w:rsidR="00511C06"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/>
          <w:sz w:val="32"/>
          <w:szCs w:val="32"/>
        </w:rPr>
        <w:t>已经实施和正在</w:t>
      </w:r>
      <w:r w:rsidRPr="0061320A">
        <w:rPr>
          <w:rFonts w:ascii="仿宋" w:eastAsia="仿宋" w:hAnsi="仿宋" w:hint="eastAsia"/>
          <w:sz w:val="32"/>
          <w:szCs w:val="32"/>
        </w:rPr>
        <w:t>建设</w:t>
      </w:r>
      <w:r w:rsidRPr="0061320A">
        <w:rPr>
          <w:rFonts w:ascii="仿宋" w:eastAsia="仿宋" w:hAnsi="仿宋"/>
          <w:sz w:val="32"/>
          <w:szCs w:val="32"/>
        </w:rPr>
        <w:t>的主要节能措施和项目</w:t>
      </w:r>
      <w:r w:rsidRPr="0061320A">
        <w:rPr>
          <w:rFonts w:ascii="仿宋" w:eastAsia="仿宋" w:hAnsi="仿宋" w:hint="eastAsia"/>
          <w:sz w:val="32"/>
          <w:szCs w:val="32"/>
        </w:rPr>
        <w:t>及具体建设内容</w:t>
      </w:r>
      <w:r w:rsidRPr="0061320A">
        <w:rPr>
          <w:rFonts w:ascii="仿宋" w:eastAsia="仿宋" w:hAnsi="仿宋"/>
          <w:sz w:val="32"/>
          <w:szCs w:val="32"/>
        </w:rPr>
        <w:t>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lastRenderedPageBreak/>
        <w:t>七、存在问题及整改措施</w:t>
      </w:r>
    </w:p>
    <w:p w:rsidR="0040723D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40723D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61320A">
        <w:rPr>
          <w:rFonts w:ascii="仿宋" w:eastAsia="仿宋" w:hAnsi="仿宋"/>
          <w:sz w:val="32"/>
          <w:szCs w:val="32"/>
        </w:rPr>
        <w:t>企业能源利用存在</w:t>
      </w:r>
      <w:r w:rsidRPr="0061320A">
        <w:rPr>
          <w:rFonts w:ascii="仿宋" w:eastAsia="仿宋" w:hAnsi="仿宋" w:hint="eastAsia"/>
          <w:sz w:val="32"/>
          <w:szCs w:val="32"/>
        </w:rPr>
        <w:t>的</w:t>
      </w:r>
      <w:r w:rsidRPr="0061320A">
        <w:rPr>
          <w:rFonts w:ascii="仿宋" w:eastAsia="仿宋" w:hAnsi="仿宋"/>
          <w:sz w:val="32"/>
          <w:szCs w:val="32"/>
        </w:rPr>
        <w:t>问题以及相应的整改措施，特别是达不到强制性能耗限额标准</w:t>
      </w:r>
      <w:r w:rsidRPr="0061320A">
        <w:rPr>
          <w:rFonts w:ascii="仿宋" w:eastAsia="仿宋" w:hAnsi="仿宋" w:hint="eastAsia"/>
          <w:sz w:val="32"/>
          <w:szCs w:val="32"/>
        </w:rPr>
        <w:t>要求的企业</w:t>
      </w:r>
      <w:r w:rsidR="00C74C8F">
        <w:rPr>
          <w:rFonts w:ascii="仿宋" w:eastAsia="仿宋" w:hAnsi="仿宋"/>
          <w:sz w:val="32"/>
          <w:szCs w:val="32"/>
        </w:rPr>
        <w:t>，应提出明确的节能改造等整改措施</w:t>
      </w:r>
      <w:r w:rsidR="00C74C8F">
        <w:rPr>
          <w:rFonts w:ascii="仿宋" w:eastAsia="仿宋" w:hAnsi="仿宋" w:hint="eastAsia"/>
          <w:sz w:val="32"/>
          <w:szCs w:val="32"/>
        </w:rPr>
        <w:t>.</w:t>
      </w:r>
    </w:p>
    <w:p w:rsidR="0061320A" w:rsidRDefault="0061320A" w:rsidP="0061320A">
      <w:pPr>
        <w:widowControl/>
        <w:spacing w:line="390" w:lineRule="atLeast"/>
        <w:ind w:firstLine="720"/>
        <w:jc w:val="center"/>
        <w:rPr>
          <w:rFonts w:ascii="Times New Roman" w:eastAsia="方正小标宋_GBK" w:hAnsi="Times New Roman" w:cs="方正小标宋_GBK"/>
          <w:kern w:val="0"/>
          <w:sz w:val="36"/>
          <w:szCs w:val="36"/>
        </w:rPr>
      </w:pPr>
      <w:r>
        <w:rPr>
          <w:rFonts w:ascii="Times New Roman" w:eastAsia="方正小标宋_GBK" w:hAnsi="Times New Roman" w:cs="方正小标宋_GBK" w:hint="eastAsia"/>
          <w:kern w:val="0"/>
          <w:sz w:val="36"/>
          <w:szCs w:val="36"/>
        </w:rPr>
        <w:lastRenderedPageBreak/>
        <w:t>高耗能行业涉及限额企业自查表</w:t>
      </w:r>
    </w:p>
    <w:p w:rsidR="0061320A" w:rsidRPr="00C220C4" w:rsidRDefault="0061320A" w:rsidP="0061320A">
      <w:pPr>
        <w:widowControl/>
        <w:spacing w:line="390" w:lineRule="atLeast"/>
        <w:ind w:firstLine="480"/>
        <w:jc w:val="center"/>
        <w:rPr>
          <w:rFonts w:ascii="Times New Roman" w:eastAsia="方正小标宋_GBK" w:hAnsi="Times New Roman"/>
          <w:kern w:val="0"/>
        </w:rPr>
      </w:pPr>
      <w:r>
        <w:rPr>
          <w:rFonts w:ascii="仿宋" w:eastAsia="仿宋" w:hAnsi="仿宋" w:cs="宋体" w:hint="eastAsia"/>
          <w:bCs/>
          <w:sz w:val="24"/>
        </w:rPr>
        <w:t xml:space="preserve">                                             年度：2017年度</w:t>
      </w:r>
    </w:p>
    <w:tbl>
      <w:tblPr>
        <w:tblW w:w="976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89"/>
        <w:gridCol w:w="1418"/>
        <w:gridCol w:w="1288"/>
        <w:gridCol w:w="271"/>
        <w:gridCol w:w="1134"/>
        <w:gridCol w:w="1134"/>
        <w:gridCol w:w="1064"/>
        <w:gridCol w:w="496"/>
        <w:gridCol w:w="1275"/>
        <w:gridCol w:w="1099"/>
      </w:tblGrid>
      <w:tr w:rsidR="0061320A" w:rsidTr="005E52C4">
        <w:trPr>
          <w:trHeight w:val="397"/>
          <w:jc w:val="center"/>
        </w:trPr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企业名称（盖章）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组织机构代码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397"/>
          <w:jc w:val="center"/>
        </w:trPr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详细地址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传真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397"/>
          <w:jc w:val="center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法定代表人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397"/>
          <w:jc w:val="center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B47334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能源管理负责</w:t>
            </w:r>
            <w:r w:rsidR="0061320A" w:rsidRPr="008809BB">
              <w:rPr>
                <w:rFonts w:ascii="Times New Roman" w:hAnsi="宋体" w:cs="宋体" w:hint="eastAsia"/>
                <w:kern w:val="0"/>
              </w:rPr>
              <w:t>人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397"/>
          <w:jc w:val="center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企业类型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内资（□国有□集体□民营）</w:t>
            </w:r>
          </w:p>
          <w:p w:rsidR="0061320A" w:rsidRPr="008809BB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□中外合资□港澳台资□外商独资□其他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A26FD3" w:rsidRDefault="0061320A" w:rsidP="005E52C4">
            <w:pPr>
              <w:widowControl/>
              <w:ind w:firstLineChars="50" w:firstLine="105"/>
              <w:rPr>
                <w:rFonts w:ascii="Times New Roman" w:hAnsi="宋体" w:cs="宋体"/>
                <w:kern w:val="0"/>
              </w:rPr>
            </w:pPr>
            <w:r>
              <w:rPr>
                <w:rFonts w:ascii="Times New Roman" w:hAnsi="宋体" w:cs="宋体"/>
                <w:kern w:val="0"/>
              </w:rPr>
              <w:t>企业所属行业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A26FD3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443"/>
          <w:jc w:val="center"/>
        </w:trPr>
        <w:tc>
          <w:tcPr>
            <w:tcW w:w="200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全厂</w:t>
            </w:r>
            <w:r w:rsidRPr="008809BB">
              <w:rPr>
                <w:rFonts w:ascii="Times New Roman" w:hAnsi="宋体" w:cs="宋体" w:hint="eastAsia"/>
                <w:kern w:val="0"/>
              </w:rPr>
              <w:t>总能耗</w:t>
            </w:r>
            <w:r w:rsidR="0033225A">
              <w:rPr>
                <w:rFonts w:ascii="Times New Roman" w:hAnsi="宋体" w:cs="宋体" w:hint="eastAsia"/>
                <w:kern w:val="0"/>
              </w:rPr>
              <w:t>(tce)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right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实物能耗</w:t>
            </w:r>
          </w:p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/>
                <w:kern w:val="0"/>
              </w:rPr>
              <w:t>能源品种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 w:rsidRPr="008809BB">
              <w:rPr>
                <w:rFonts w:ascii="Times New Roman" w:hAnsi="宋体" w:cs="宋体" w:hint="eastAsia"/>
                <w:kern w:val="0"/>
              </w:rPr>
              <w:t>能源</w:t>
            </w:r>
            <w:r w:rsidRPr="008809BB">
              <w:rPr>
                <w:rFonts w:ascii="Times New Roman" w:hAnsi="宋体" w:cs="宋体"/>
                <w:kern w:val="0"/>
              </w:rPr>
              <w:t>消耗量</w:t>
            </w:r>
            <w:r w:rsidR="0033225A">
              <w:rPr>
                <w:rFonts w:ascii="Times New Roman" w:hAnsi="宋体" w:cs="宋体" w:hint="eastAsia"/>
                <w:kern w:val="0"/>
              </w:rPr>
              <w:t>(tce)</w:t>
            </w:r>
          </w:p>
        </w:tc>
      </w:tr>
      <w:tr w:rsidR="0061320A" w:rsidTr="005E52C4">
        <w:trPr>
          <w:trHeight w:val="463"/>
          <w:jc w:val="center"/>
        </w:trPr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463"/>
          <w:jc w:val="center"/>
        </w:trPr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463"/>
          <w:jc w:val="center"/>
        </w:trPr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463"/>
          <w:jc w:val="center"/>
        </w:trPr>
        <w:tc>
          <w:tcPr>
            <w:tcW w:w="20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463"/>
          <w:jc w:val="center"/>
        </w:trPr>
        <w:tc>
          <w:tcPr>
            <w:tcW w:w="20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8809BB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</w:tr>
      <w:tr w:rsidR="0061320A" w:rsidTr="005E52C4">
        <w:trPr>
          <w:trHeight w:val="109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生产工艺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产品名称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产量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能耗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单位产品能耗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国家限额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执行情况</w:t>
            </w:r>
          </w:p>
        </w:tc>
      </w:tr>
      <w:tr w:rsidR="0061320A" w:rsidTr="005E52C4">
        <w:trPr>
          <w:trHeight w:val="5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61320A" w:rsidTr="005E52C4">
        <w:trPr>
          <w:trHeight w:val="5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61320A" w:rsidTr="005E52C4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61320A" w:rsidTr="005E52C4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61320A" w:rsidTr="00511C06">
        <w:trPr>
          <w:trHeight w:val="949"/>
          <w:jc w:val="center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06" w:rsidRDefault="0061320A" w:rsidP="005E52C4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主要</w:t>
            </w:r>
            <w:r w:rsidR="00511C06">
              <w:rPr>
                <w:rFonts w:ascii="Times New Roman" w:hAnsi="宋体" w:cs="宋体" w:hint="eastAsia"/>
                <w:kern w:val="0"/>
              </w:rPr>
              <w:t>用能</w:t>
            </w:r>
            <w:r>
              <w:rPr>
                <w:rFonts w:ascii="Times New Roman" w:hAnsi="宋体" w:cs="宋体" w:hint="eastAsia"/>
                <w:kern w:val="0"/>
              </w:rPr>
              <w:t>设备</w:t>
            </w:r>
          </w:p>
          <w:p w:rsidR="0061320A" w:rsidRDefault="00511C06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（或装备）</w:t>
            </w:r>
          </w:p>
        </w:tc>
        <w:tc>
          <w:tcPr>
            <w:tcW w:w="77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Pr="003D1103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61320A" w:rsidTr="00511C06">
        <w:trPr>
          <w:trHeight w:val="288"/>
          <w:jc w:val="center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511C06" w:rsidP="00511C06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计量配备情况</w:t>
            </w:r>
          </w:p>
          <w:p w:rsidR="0061320A" w:rsidRDefault="0061320A" w:rsidP="00511C06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511C06" w:rsidP="00511C06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一级：</w:t>
            </w:r>
            <w:r>
              <w:rPr>
                <w:rFonts w:ascii="Times New Roman" w:hAnsi="Times New Roman" w:hint="eastAsia"/>
                <w:kern w:val="0"/>
              </w:rPr>
              <w:t xml:space="preserve">     %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Default="00511C06" w:rsidP="00511C06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二级：</w:t>
            </w:r>
            <w:r>
              <w:rPr>
                <w:rFonts w:ascii="Times New Roman" w:hAnsi="Times New Roman" w:hint="eastAsia"/>
                <w:kern w:val="0"/>
              </w:rPr>
              <w:t xml:space="preserve">     %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20A" w:rsidRDefault="00511C06" w:rsidP="00511C06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三级：</w:t>
            </w:r>
            <w:r>
              <w:rPr>
                <w:rFonts w:ascii="Times New Roman" w:hAnsi="Times New Roman" w:hint="eastAsia"/>
                <w:kern w:val="0"/>
              </w:rPr>
              <w:t xml:space="preserve">     %</w:t>
            </w:r>
          </w:p>
        </w:tc>
      </w:tr>
      <w:tr w:rsidR="00B47334" w:rsidTr="0046561B">
        <w:trPr>
          <w:trHeight w:val="288"/>
          <w:jc w:val="center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34" w:rsidRDefault="00B47334" w:rsidP="00511C06">
            <w:pPr>
              <w:widowControl/>
              <w:jc w:val="center"/>
              <w:rPr>
                <w:rFonts w:ascii="Times New Roman" w:hAnsi="宋体" w:cs="宋体"/>
                <w:kern w:val="0"/>
              </w:rPr>
            </w:pPr>
            <w:r>
              <w:rPr>
                <w:rFonts w:ascii="Times New Roman" w:hAnsi="宋体" w:cs="宋体" w:hint="eastAsia"/>
                <w:kern w:val="0"/>
              </w:rPr>
              <w:t>2017</w:t>
            </w:r>
            <w:r>
              <w:rPr>
                <w:rFonts w:ascii="Times New Roman" w:hAnsi="宋体" w:cs="宋体" w:hint="eastAsia"/>
                <w:kern w:val="0"/>
              </w:rPr>
              <w:t>年技改项目</w:t>
            </w:r>
          </w:p>
        </w:tc>
        <w:tc>
          <w:tcPr>
            <w:tcW w:w="77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34" w:rsidRDefault="00B47334" w:rsidP="00511C06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</w:p>
          <w:p w:rsidR="00B47334" w:rsidRDefault="00B47334" w:rsidP="00511C06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</w:p>
        </w:tc>
      </w:tr>
      <w:tr w:rsidR="0061320A" w:rsidTr="005E52C4">
        <w:trPr>
          <w:trHeight w:val="465"/>
          <w:jc w:val="center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填表人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ind w:firstLineChars="250" w:firstLine="525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单位负责人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0A" w:rsidRDefault="0061320A" w:rsidP="005E52C4">
            <w:pPr>
              <w:widowControl/>
              <w:ind w:firstLine="420"/>
              <w:rPr>
                <w:rFonts w:ascii="Times New Roman" w:hAnsi="Times New Roman"/>
                <w:kern w:val="0"/>
              </w:rPr>
            </w:pPr>
          </w:p>
        </w:tc>
      </w:tr>
    </w:tbl>
    <w:p w:rsidR="0061320A" w:rsidRDefault="0061320A" w:rsidP="0061320A"/>
    <w:p w:rsidR="0061320A" w:rsidRDefault="0061320A" w:rsidP="0040723D">
      <w:pPr>
        <w:ind w:firstLineChars="2450" w:firstLine="5145"/>
      </w:pPr>
      <w:r>
        <w:rPr>
          <w:rFonts w:hint="eastAsia"/>
        </w:rPr>
        <w:t>填表日期</w:t>
      </w:r>
      <w:r>
        <w:rPr>
          <w:rFonts w:ascii="Times New Roman" w:hAnsi="宋体"/>
          <w:kern w:val="0"/>
        </w:rPr>
        <w:t>：</w:t>
      </w:r>
      <w:r w:rsidR="0040723D">
        <w:rPr>
          <w:rFonts w:ascii="Times New Roman" w:hAnsi="宋体" w:hint="eastAsia"/>
          <w:kern w:val="0"/>
        </w:rPr>
        <w:t xml:space="preserve">      </w:t>
      </w:r>
      <w:r>
        <w:rPr>
          <w:rFonts w:ascii="Times New Roman" w:hAnsi="宋体"/>
          <w:kern w:val="0"/>
        </w:rPr>
        <w:t>年</w:t>
      </w:r>
      <w:r w:rsidR="0040723D">
        <w:rPr>
          <w:rFonts w:ascii="Times New Roman" w:hAnsi="宋体" w:hint="eastAsia"/>
          <w:kern w:val="0"/>
        </w:rPr>
        <w:t xml:space="preserve">   </w:t>
      </w:r>
      <w:r>
        <w:rPr>
          <w:rFonts w:ascii="Times New Roman" w:hAnsi="宋体"/>
          <w:kern w:val="0"/>
        </w:rPr>
        <w:t>月</w:t>
      </w:r>
      <w:r w:rsidR="0040723D">
        <w:rPr>
          <w:rFonts w:ascii="Times New Roman" w:hAnsi="宋体" w:hint="eastAsia"/>
          <w:kern w:val="0"/>
        </w:rPr>
        <w:t xml:space="preserve">   </w:t>
      </w:r>
      <w:r>
        <w:rPr>
          <w:rFonts w:ascii="Times New Roman" w:hAnsi="宋体"/>
          <w:kern w:val="0"/>
        </w:rPr>
        <w:t>日</w:t>
      </w:r>
    </w:p>
    <w:sectPr w:rsidR="0061320A" w:rsidSect="00407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51" w:rsidRDefault="00905B51" w:rsidP="002F7065">
      <w:r>
        <w:separator/>
      </w:r>
    </w:p>
  </w:endnote>
  <w:endnote w:type="continuationSeparator" w:id="1">
    <w:p w:rsidR="00905B51" w:rsidRDefault="00905B51" w:rsidP="002F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0A" w:rsidRDefault="00A070E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1025" type="#_x0000_t202" style="position:absolute;margin-left:0;margin-top:0;width:5.35pt;height:12.8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" filled="f" stroked="f">
          <v:textbox style="mso-fit-shape-to-text:t" inset="0,0,0,0">
            <w:txbxContent>
              <w:p w:rsidR="0061320A" w:rsidRDefault="00A070E8">
                <w:pPr>
                  <w:snapToGrid w:val="0"/>
                  <w:rPr>
                    <w:rFonts w:ascii="Times New Roman" w:hAnsi="Times New Roman"/>
                    <w:sz w:val="24"/>
                    <w:szCs w:val="36"/>
                  </w:rPr>
                </w:pPr>
                <w:r>
                  <w:rPr>
                    <w:rFonts w:ascii="Times New Roman" w:hAnsi="Times New Roman" w:hint="eastAsia"/>
                    <w:sz w:val="24"/>
                    <w:szCs w:val="36"/>
                  </w:rPr>
                  <w:fldChar w:fldCharType="begin"/>
                </w:r>
                <w:r w:rsidR="0061320A">
                  <w:rPr>
                    <w:rFonts w:ascii="Times New Roman" w:hAnsi="Times New Roman"/>
                    <w:sz w:val="24"/>
                    <w:szCs w:val="36"/>
                  </w:rPr>
                  <w:instrText xml:space="preserve"> PAGE  \* MERGEFORMAT </w:instrText>
                </w:r>
                <w:r>
                  <w:rPr>
                    <w:rFonts w:ascii="Times New Roman" w:hAnsi="Times New Roman" w:hint="eastAsia"/>
                    <w:sz w:val="24"/>
                    <w:szCs w:val="36"/>
                  </w:rPr>
                  <w:fldChar w:fldCharType="separate"/>
                </w:r>
                <w:r w:rsidR="000E748E" w:rsidRPr="000E748E">
                  <w:rPr>
                    <w:rFonts w:cs="黑体"/>
                    <w:noProof/>
                  </w:rPr>
                  <w:t>1</w:t>
                </w:r>
                <w:r>
                  <w:rPr>
                    <w:rFonts w:ascii="Times New Roman" w:hAnsi="Times New Roman" w:hint="eastAsia"/>
                    <w:sz w:val="24"/>
                    <w:szCs w:val="36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61320A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6" w:rsidRDefault="001416C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6" w:rsidRDefault="001416C6">
    <w:pPr>
      <w:pStyle w:val="a4"/>
      <w:jc w:val="center"/>
    </w:pPr>
  </w:p>
  <w:p w:rsidR="001416C6" w:rsidRDefault="001416C6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6" w:rsidRDefault="001416C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51" w:rsidRDefault="00905B51" w:rsidP="002F7065">
      <w:r>
        <w:separator/>
      </w:r>
    </w:p>
  </w:footnote>
  <w:footnote w:type="continuationSeparator" w:id="1">
    <w:p w:rsidR="00905B51" w:rsidRDefault="00905B51" w:rsidP="002F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6" w:rsidRDefault="001416C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6" w:rsidRDefault="001416C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6" w:rsidRDefault="001416C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20A"/>
    <w:rsid w:val="00000567"/>
    <w:rsid w:val="000030F7"/>
    <w:rsid w:val="00031F93"/>
    <w:rsid w:val="00036450"/>
    <w:rsid w:val="00047E1B"/>
    <w:rsid w:val="000557DC"/>
    <w:rsid w:val="00083387"/>
    <w:rsid w:val="000B1EC9"/>
    <w:rsid w:val="000D54F2"/>
    <w:rsid w:val="000D7C65"/>
    <w:rsid w:val="000E4017"/>
    <w:rsid w:val="000E748E"/>
    <w:rsid w:val="000F4348"/>
    <w:rsid w:val="000F7C62"/>
    <w:rsid w:val="00110C5B"/>
    <w:rsid w:val="00116B48"/>
    <w:rsid w:val="001406AA"/>
    <w:rsid w:val="001407F4"/>
    <w:rsid w:val="001416C6"/>
    <w:rsid w:val="001526B4"/>
    <w:rsid w:val="00173D8E"/>
    <w:rsid w:val="00191C3C"/>
    <w:rsid w:val="001A0746"/>
    <w:rsid w:val="001A5F98"/>
    <w:rsid w:val="001F316D"/>
    <w:rsid w:val="002043DA"/>
    <w:rsid w:val="00250C5D"/>
    <w:rsid w:val="002833B6"/>
    <w:rsid w:val="002B6989"/>
    <w:rsid w:val="002C0145"/>
    <w:rsid w:val="002F7065"/>
    <w:rsid w:val="00304EE7"/>
    <w:rsid w:val="0033225A"/>
    <w:rsid w:val="003600D5"/>
    <w:rsid w:val="00366897"/>
    <w:rsid w:val="00366E99"/>
    <w:rsid w:val="003A7CEF"/>
    <w:rsid w:val="003B3E6A"/>
    <w:rsid w:val="003E639F"/>
    <w:rsid w:val="003E6C0D"/>
    <w:rsid w:val="0040723D"/>
    <w:rsid w:val="00425BF7"/>
    <w:rsid w:val="00463243"/>
    <w:rsid w:val="00474419"/>
    <w:rsid w:val="004826B9"/>
    <w:rsid w:val="00496D93"/>
    <w:rsid w:val="004B44FC"/>
    <w:rsid w:val="004D231E"/>
    <w:rsid w:val="004D5EA9"/>
    <w:rsid w:val="004E662A"/>
    <w:rsid w:val="00511C06"/>
    <w:rsid w:val="00514E9C"/>
    <w:rsid w:val="00517EEF"/>
    <w:rsid w:val="00522CFF"/>
    <w:rsid w:val="00545E7B"/>
    <w:rsid w:val="00585396"/>
    <w:rsid w:val="005923AB"/>
    <w:rsid w:val="005A01A1"/>
    <w:rsid w:val="005A0471"/>
    <w:rsid w:val="005B1D39"/>
    <w:rsid w:val="005B29B2"/>
    <w:rsid w:val="005C67AB"/>
    <w:rsid w:val="0061320A"/>
    <w:rsid w:val="00625C55"/>
    <w:rsid w:val="006500A4"/>
    <w:rsid w:val="006748FE"/>
    <w:rsid w:val="00681520"/>
    <w:rsid w:val="00693784"/>
    <w:rsid w:val="006B78A6"/>
    <w:rsid w:val="006D6AF5"/>
    <w:rsid w:val="007071E4"/>
    <w:rsid w:val="00713960"/>
    <w:rsid w:val="007303C9"/>
    <w:rsid w:val="00750441"/>
    <w:rsid w:val="007777E9"/>
    <w:rsid w:val="007D49C0"/>
    <w:rsid w:val="007E7268"/>
    <w:rsid w:val="0081300D"/>
    <w:rsid w:val="00813F67"/>
    <w:rsid w:val="00822A73"/>
    <w:rsid w:val="008524E7"/>
    <w:rsid w:val="00872E45"/>
    <w:rsid w:val="008962DA"/>
    <w:rsid w:val="008A37F3"/>
    <w:rsid w:val="008B034E"/>
    <w:rsid w:val="008C1DF2"/>
    <w:rsid w:val="008F0A20"/>
    <w:rsid w:val="008F10DE"/>
    <w:rsid w:val="00901342"/>
    <w:rsid w:val="00905B51"/>
    <w:rsid w:val="00966BA7"/>
    <w:rsid w:val="009C6287"/>
    <w:rsid w:val="009C66BF"/>
    <w:rsid w:val="00A070E8"/>
    <w:rsid w:val="00A42FAD"/>
    <w:rsid w:val="00A500E0"/>
    <w:rsid w:val="00A56C9B"/>
    <w:rsid w:val="00A73027"/>
    <w:rsid w:val="00AB6E12"/>
    <w:rsid w:val="00AE13A5"/>
    <w:rsid w:val="00B422FA"/>
    <w:rsid w:val="00B47334"/>
    <w:rsid w:val="00B57774"/>
    <w:rsid w:val="00B735A9"/>
    <w:rsid w:val="00B90339"/>
    <w:rsid w:val="00B916D6"/>
    <w:rsid w:val="00B96659"/>
    <w:rsid w:val="00BC36EA"/>
    <w:rsid w:val="00BD1B6D"/>
    <w:rsid w:val="00BD7912"/>
    <w:rsid w:val="00C12FDA"/>
    <w:rsid w:val="00C3792B"/>
    <w:rsid w:val="00C42921"/>
    <w:rsid w:val="00C74C8F"/>
    <w:rsid w:val="00C77C3D"/>
    <w:rsid w:val="00C8645F"/>
    <w:rsid w:val="00CA3825"/>
    <w:rsid w:val="00CC0804"/>
    <w:rsid w:val="00CF25D9"/>
    <w:rsid w:val="00D47937"/>
    <w:rsid w:val="00D81948"/>
    <w:rsid w:val="00D970A4"/>
    <w:rsid w:val="00DC5910"/>
    <w:rsid w:val="00DD6B6F"/>
    <w:rsid w:val="00DF37EB"/>
    <w:rsid w:val="00E03DEF"/>
    <w:rsid w:val="00E07B74"/>
    <w:rsid w:val="00E16AA9"/>
    <w:rsid w:val="00E51FAA"/>
    <w:rsid w:val="00E853C0"/>
    <w:rsid w:val="00EA048C"/>
    <w:rsid w:val="00EA1EAD"/>
    <w:rsid w:val="00ED0707"/>
    <w:rsid w:val="00F4096A"/>
    <w:rsid w:val="00F50618"/>
    <w:rsid w:val="00F51A8D"/>
    <w:rsid w:val="00F52ADA"/>
    <w:rsid w:val="00F725E9"/>
    <w:rsid w:val="00F759B0"/>
    <w:rsid w:val="00F8236F"/>
    <w:rsid w:val="00F91C96"/>
    <w:rsid w:val="00FA021C"/>
    <w:rsid w:val="00FA4A27"/>
    <w:rsid w:val="00F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047E1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20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320A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7E1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4072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72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2018-04-02T07:10:00Z</cp:lastPrinted>
  <dcterms:created xsi:type="dcterms:W3CDTF">2018-03-29T07:52:00Z</dcterms:created>
  <dcterms:modified xsi:type="dcterms:W3CDTF">2018-04-10T09:07:00Z</dcterms:modified>
</cp:coreProperties>
</file>