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宋体" w:cs="Times New Roman"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color w:val="000000"/>
          <w:sz w:val="30"/>
          <w:szCs w:val="30"/>
        </w:rPr>
        <w:t>附表</w:t>
      </w:r>
      <w:r>
        <w:rPr>
          <w:rFonts w:ascii="仿宋_GB2312" w:hAnsi="黑体" w:eastAsia="仿宋_GB2312" w:cs="仿宋_GB2312"/>
          <w:b/>
          <w:bCs/>
          <w:color w:val="000000"/>
          <w:sz w:val="30"/>
          <w:szCs w:val="30"/>
        </w:rPr>
        <w:t>1</w:t>
      </w:r>
    </w:p>
    <w:p>
      <w:pPr>
        <w:widowControl/>
        <w:jc w:val="center"/>
        <w:outlineLvl w:val="0"/>
        <w:rPr>
          <w:rFonts w:ascii="仿宋_GB2312" w:eastAsia="仿宋_GB2312" w:cs="Times New Roman"/>
          <w:b/>
          <w:bCs/>
          <w:color w:val="000000"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color w:val="000000"/>
          <w:sz w:val="30"/>
          <w:szCs w:val="30"/>
        </w:rPr>
        <w:t>水泥企业基本信息表</w:t>
      </w:r>
    </w:p>
    <w:tbl>
      <w:tblPr>
        <w:tblStyle w:val="3"/>
        <w:tblW w:w="87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1558"/>
        <w:gridCol w:w="257"/>
        <w:gridCol w:w="1445"/>
        <w:gridCol w:w="786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7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企业名称（盖章）</w:t>
            </w: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组织机构代码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邮编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详细地址</w:t>
            </w: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法定代表人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法人代表联系电话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联系部门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联系人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传真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手机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电子邮箱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企业类型</w:t>
            </w: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内资（□国有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□集体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□民营）</w:t>
            </w:r>
            <w:r>
              <w:rPr>
                <w:rFonts w:ascii="宋体" w:hAnsi="宋体" w:cs="宋体"/>
                <w:color w:val="000000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</w:rPr>
              <w:t>□中外合资</w:t>
            </w:r>
          </w:p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□港澳台</w:t>
            </w:r>
            <w:r>
              <w:rPr>
                <w:rFonts w:ascii="宋体" w:hAnsi="宋体" w:cs="宋体"/>
                <w:color w:val="000000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</w:rPr>
              <w:t>□外商独资</w:t>
            </w:r>
            <w:r>
              <w:rPr>
                <w:rFonts w:ascii="宋体" w:hAnsi="宋体" w:cs="宋体"/>
                <w:color w:val="000000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企业注册时间</w:t>
            </w: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投产时间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生产线</w:t>
            </w:r>
            <w:r>
              <w:rPr>
                <w:rFonts w:ascii="宋体" w:hAnsi="宋体" w:cs="宋体"/>
                <w:color w:val="000000"/>
              </w:rPr>
              <w:t>1</w:t>
            </w:r>
          </w:p>
        </w:tc>
        <w:tc>
          <w:tcPr>
            <w:tcW w:w="48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生产线</w:t>
            </w:r>
            <w:r>
              <w:rPr>
                <w:rFonts w:ascii="宋体" w:hAnsi="宋体" w:cs="宋体"/>
                <w:color w:val="000000"/>
              </w:rPr>
              <w:t>2</w:t>
            </w:r>
          </w:p>
        </w:tc>
        <w:tc>
          <w:tcPr>
            <w:tcW w:w="48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……</w:t>
            </w:r>
          </w:p>
        </w:tc>
        <w:tc>
          <w:tcPr>
            <w:tcW w:w="48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7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二、企业基本指标</w:t>
            </w:r>
            <w:r>
              <w:rPr>
                <w:rFonts w:hint="eastAsia" w:ascii="宋体" w:hAnsi="宋体" w:cs="宋体"/>
                <w:color w:val="000000"/>
              </w:rPr>
              <w:t>（统计范围和计算方法按照《水泥单位产品能源消耗限额》（</w:t>
            </w:r>
            <w:r>
              <w:rPr>
                <w:rFonts w:ascii="宋体" w:hAnsi="宋体" w:cs="宋体"/>
                <w:color w:val="000000"/>
              </w:rPr>
              <w:t>GB16780</w:t>
            </w:r>
            <w:r>
              <w:rPr>
                <w:rFonts w:hint="eastAsia" w:ascii="宋体" w:hAnsi="宋体" w:cs="宋体"/>
                <w:color w:val="000000"/>
              </w:rPr>
              <w:t>）、</w:t>
            </w:r>
          </w:p>
          <w:p>
            <w:pPr>
              <w:spacing w:line="320" w:lineRule="exact"/>
              <w:jc w:val="left"/>
              <w:rPr>
                <w:rFonts w:ascii="宋体" w:cs="Times New Roman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《水泥生产电能能效测试及计算方法》（</w:t>
            </w:r>
            <w:r>
              <w:rPr>
                <w:rFonts w:ascii="宋体" w:hAnsi="宋体" w:cs="宋体"/>
                <w:color w:val="000000"/>
              </w:rPr>
              <w:t>GB/T27977</w:t>
            </w:r>
            <w:r>
              <w:rPr>
                <w:rFonts w:hint="eastAsia" w:ascii="宋体" w:hAnsi="宋体" w:cs="宋体"/>
                <w:color w:val="000000"/>
              </w:rPr>
              <w:t>）、《通用硅酸盐水泥标准》（</w:t>
            </w:r>
            <w:r>
              <w:rPr>
                <w:rFonts w:ascii="宋体" w:hAnsi="宋体" w:cs="宋体"/>
                <w:color w:val="000000"/>
              </w:rPr>
              <w:t>GB175</w:t>
            </w:r>
            <w:r>
              <w:rPr>
                <w:rFonts w:hint="eastAsia" w:ascii="宋体" w:hAnsi="宋体" w:cs="宋体"/>
                <w:color w:val="000000"/>
              </w:rPr>
              <w:t>）执行）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企业熟料设计产能（吨）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企业水泥设计产能（吨）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年度熟料产量（吨）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年度熟料销售量（吨）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年度水泥熟料外购量（吨）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年度水泥产量（吨）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企业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年度水泥产品能源消耗总量（吨标煤）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其中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2016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年度总电耗（千瓦时）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</w:t>
            </w:r>
            <w:r>
              <w:rPr>
                <w:rFonts w:ascii="宋体" w:hAnsi="宋体" w:cs="宋体"/>
              </w:rPr>
              <w:t>2016</w:t>
            </w:r>
            <w:r>
              <w:rPr>
                <w:rFonts w:hint="eastAsia" w:ascii="宋体" w:hAnsi="宋体" w:cs="宋体"/>
              </w:rPr>
              <w:t>年度</w:t>
            </w:r>
            <w:r>
              <w:rPr>
                <w:rFonts w:hint="eastAsia" w:ascii="宋体" w:hAnsi="宋体" w:cs="宋体"/>
                <w:color w:val="000000"/>
              </w:rPr>
              <w:t>产品电耗指标（生产线加权平均）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可比熟料综合电耗（千瓦时</w:t>
            </w:r>
            <w:r>
              <w:rPr>
                <w:rFonts w:ascii="宋体" w:hAnsi="宋体" w:cs="宋体"/>
                <w:color w:val="000000"/>
              </w:rPr>
              <w:t xml:space="preserve"> /</w:t>
            </w:r>
            <w:r>
              <w:rPr>
                <w:rFonts w:hint="eastAsia" w:ascii="宋体" w:hAnsi="宋体" w:cs="宋体"/>
                <w:color w:val="000000"/>
              </w:rPr>
              <w:t>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可比水泥综合电耗（千瓦时</w:t>
            </w:r>
            <w:r>
              <w:rPr>
                <w:rFonts w:ascii="宋体" w:hAnsi="宋体" w:cs="宋体"/>
                <w:color w:val="000000"/>
              </w:rPr>
              <w:t xml:space="preserve"> /</w:t>
            </w:r>
            <w:r>
              <w:rPr>
                <w:rFonts w:hint="eastAsia" w:ascii="宋体" w:hAnsi="宋体" w:cs="宋体"/>
                <w:color w:val="000000"/>
              </w:rPr>
              <w:t>吨）</w:t>
            </w:r>
          </w:p>
        </w:tc>
        <w:tc>
          <w:tcPr>
            <w:tcW w:w="3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87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其他说明：</w:t>
            </w:r>
          </w:p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87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20" w:lineRule="exac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内容真实性声明：</w:t>
            </w:r>
          </w:p>
          <w:p>
            <w:pPr>
              <w:spacing w:line="320" w:lineRule="exact"/>
              <w:ind w:firstLine="420"/>
              <w:rPr>
                <w:rFonts w:ascii="宋体" w:cs="Times New Roman"/>
                <w:color w:val="000000"/>
              </w:rPr>
            </w:pPr>
          </w:p>
          <w:p>
            <w:pPr>
              <w:spacing w:line="320" w:lineRule="exact"/>
              <w:ind w:firstLine="420"/>
              <w:rPr>
                <w:rFonts w:ascii="宋体" w:cs="Times New Roman"/>
                <w:color w:val="000000"/>
              </w:rPr>
            </w:pPr>
          </w:p>
          <w:p>
            <w:pPr>
              <w:spacing w:line="320" w:lineRule="exact"/>
              <w:ind w:firstLine="420"/>
              <w:rPr>
                <w:rFonts w:ascii="宋体" w:cs="Times New Roman"/>
                <w:color w:val="000000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FangSong_GB2312" w:hAnsi="FangSong_GB2312" w:cs="FangSong_GB2312"/>
          <w:color w:val="000000"/>
          <w:kern w:val="0"/>
        </w:rPr>
      </w:pPr>
      <w:r>
        <w:rPr>
          <w:rFonts w:hint="eastAsia" w:ascii="FangSong_GB2312" w:hAnsi="FangSong_GB2312" w:cs="宋体"/>
          <w:color w:val="000000"/>
          <w:kern w:val="0"/>
        </w:rPr>
        <w:t>填报人：</w:t>
      </w:r>
      <w:r>
        <w:rPr>
          <w:rFonts w:ascii="FangSong_GB2312" w:hAnsi="FangSong_GB2312" w:cs="FangSong_GB2312"/>
          <w:color w:val="000000"/>
          <w:kern w:val="0"/>
        </w:rPr>
        <w:t xml:space="preserve">          </w:t>
      </w:r>
      <w:r>
        <w:rPr>
          <w:rFonts w:hint="eastAsia" w:ascii="FangSong_GB2312" w:hAnsi="FangSong_GB2312" w:cs="宋体"/>
          <w:color w:val="000000"/>
          <w:kern w:val="0"/>
        </w:rPr>
        <w:t>填报负责人：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</w:t>
      </w:r>
      <w:r>
        <w:rPr>
          <w:rFonts w:hint="eastAsia" w:ascii="FangSong_GB2312" w:hAnsi="FangSong_GB2312" w:cs="宋体"/>
          <w:color w:val="000000"/>
          <w:kern w:val="0"/>
        </w:rPr>
        <w:t>单位负责人：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  </w:t>
      </w:r>
      <w:r>
        <w:rPr>
          <w:rFonts w:hint="eastAsia" w:ascii="FangSong_GB2312" w:hAnsi="FangSong_GB2312" w:cs="宋体"/>
          <w:color w:val="000000"/>
          <w:kern w:val="0"/>
        </w:rPr>
        <w:t>填报日期：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年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月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日</w:t>
      </w:r>
    </w:p>
    <w:p>
      <w:pPr>
        <w:rPr>
          <w:rFonts w:ascii="宋体" w:cs="Times New Roman"/>
          <w:color w:val="000000"/>
          <w:sz w:val="24"/>
          <w:szCs w:val="24"/>
        </w:rPr>
      </w:pPr>
      <w:r>
        <w:rPr>
          <w:rFonts w:hint="eastAsia" w:ascii="FangSong_GB2312" w:hAnsi="FangSong_GB2312" w:cs="宋体"/>
          <w:color w:val="000000"/>
          <w:kern w:val="0"/>
        </w:rPr>
        <w:t>注：此表可加附页。</w:t>
      </w:r>
      <w:r>
        <w:rPr>
          <w:rFonts w:ascii="宋体" w:cs="Times New Roman"/>
          <w:color w:val="000000"/>
          <w:sz w:val="24"/>
          <w:szCs w:val="24"/>
        </w:rPr>
        <w:br w:type="page"/>
      </w:r>
    </w:p>
    <w:p>
      <w:pPr>
        <w:rPr>
          <w:rFonts w:ascii="仿宋_GB2312" w:hAnsi="黑体" w:eastAsia="仿宋_GB2312" w:cs="仿宋_GB2312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附表</w:t>
      </w:r>
      <w:r>
        <w:rPr>
          <w:rFonts w:ascii="仿宋_GB2312" w:hAnsi="黑体" w:eastAsia="仿宋_GB2312" w:cs="仿宋_GB2312"/>
          <w:b/>
          <w:bCs/>
          <w:sz w:val="30"/>
          <w:szCs w:val="30"/>
        </w:rPr>
        <w:t>2</w:t>
      </w:r>
    </w:p>
    <w:p>
      <w:pPr>
        <w:jc w:val="center"/>
        <w:rPr>
          <w:rFonts w:ascii="仿宋_GB2312" w:hAnsi="黑体" w:eastAsia="仿宋_GB2312" w:cs="Times New Roman"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水泥生产线情况表</w:t>
      </w:r>
    </w:p>
    <w:p>
      <w:pPr>
        <w:rPr>
          <w:rFonts w:ascii="仿宋_GB2312" w:hAnsi="黑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企业名称（盖章）：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 xml:space="preserve">                       </w:t>
      </w: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核查年度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>:</w:t>
      </w:r>
    </w:p>
    <w:tbl>
      <w:tblPr>
        <w:tblStyle w:val="3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66"/>
        <w:gridCol w:w="1076"/>
        <w:gridCol w:w="87"/>
        <w:gridCol w:w="1173"/>
        <w:gridCol w:w="1332"/>
        <w:gridCol w:w="1466"/>
        <w:gridCol w:w="1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8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）熟料生产线（无水泥产品的企业）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名称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规模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吨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日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主机设备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型号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年设计产能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（吨）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年产量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（吨）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可比熟料综合电耗（千瓦时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吨熟料）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8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</w:t>
            </w:r>
            <w:r>
              <w:rPr>
                <w:rFonts w:ascii="宋体" w:hAnsi="宋体" w:cs="宋体"/>
              </w:rPr>
              <w:t>2</w:t>
            </w:r>
            <w:r>
              <w:rPr>
                <w:rFonts w:hint="eastAsia" w:ascii="宋体" w:hAnsi="宋体" w:cs="宋体"/>
              </w:rPr>
              <w:t>）完整水泥生产线（含熟料生产、水泥粉磨及包装）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名称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规模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吨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日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主机设备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型号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年设计产能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（万吨）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年产量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（吨）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可比水泥综合电耗（千瓦时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吨水泥）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8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</w:t>
            </w:r>
            <w:r>
              <w:rPr>
                <w:rFonts w:ascii="宋体" w:hAnsi="宋体" w:cs="宋体"/>
              </w:rPr>
              <w:t>3</w:t>
            </w:r>
            <w:r>
              <w:rPr>
                <w:rFonts w:hint="eastAsia" w:ascii="宋体" w:hAnsi="宋体" w:cs="宋体"/>
              </w:rPr>
              <w:t>）水泥粉磨站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生产线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名称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规模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吨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日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磨机设备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型号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年设计产能（万吨）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年产量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（吨）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可比水泥综合电耗（千瓦时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吨水泥）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hAnsi="宋体" w:cs="宋体"/>
              </w:rPr>
              <w:t>生产线</w:t>
            </w: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FangSong_GB2312" w:hAnsi="FangSong_GB2312" w:cs="FangSong_GB2312"/>
          <w:color w:val="000000"/>
          <w:kern w:val="0"/>
        </w:rPr>
      </w:pPr>
      <w:r>
        <w:rPr>
          <w:rFonts w:hint="eastAsia" w:ascii="FangSong_GB2312" w:hAnsi="FangSong_GB2312" w:cs="宋体"/>
          <w:color w:val="000000"/>
          <w:kern w:val="0"/>
        </w:rPr>
        <w:t>填报人：</w:t>
      </w:r>
      <w:r>
        <w:rPr>
          <w:rFonts w:ascii="FangSong_GB2312" w:hAnsi="FangSong_GB2312" w:cs="FangSong_GB2312"/>
          <w:color w:val="000000"/>
          <w:kern w:val="0"/>
        </w:rPr>
        <w:t xml:space="preserve">          </w:t>
      </w:r>
      <w:r>
        <w:rPr>
          <w:rFonts w:hint="eastAsia" w:ascii="FangSong_GB2312" w:hAnsi="FangSong_GB2312" w:cs="宋体"/>
          <w:color w:val="000000"/>
          <w:kern w:val="0"/>
        </w:rPr>
        <w:t>填报负责人：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</w:t>
      </w:r>
      <w:r>
        <w:rPr>
          <w:rFonts w:hint="eastAsia" w:ascii="FangSong_GB2312" w:hAnsi="FangSong_GB2312" w:cs="宋体"/>
          <w:color w:val="000000"/>
          <w:kern w:val="0"/>
        </w:rPr>
        <w:t>单位负责人：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  </w:t>
      </w:r>
      <w:r>
        <w:rPr>
          <w:rFonts w:hint="eastAsia" w:ascii="FangSong_GB2312" w:hAnsi="FangSong_GB2312" w:cs="宋体"/>
          <w:color w:val="000000"/>
          <w:kern w:val="0"/>
        </w:rPr>
        <w:t>填报日期：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年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月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日</w:t>
      </w:r>
    </w:p>
    <w:p>
      <w:pPr>
        <w:adjustRightInd w:val="0"/>
        <w:snapToGrid w:val="0"/>
        <w:spacing w:line="360" w:lineRule="auto"/>
        <w:rPr>
          <w:rFonts w:ascii="宋体" w:cs="Times New Roman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核查年度有非正常停机等情况应说明；</w:t>
      </w:r>
    </w:p>
    <w:p>
      <w:pPr>
        <w:adjustRightInd w:val="0"/>
        <w:snapToGrid w:val="0"/>
        <w:spacing w:line="360" w:lineRule="auto"/>
        <w:ind w:left="636" w:leftChars="200" w:hanging="216" w:hangingChars="103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企业有多条生产线的，以企业各生产线单位产品可比综合电耗的加权平均值，评定阶梯电价加价标准；</w:t>
      </w:r>
    </w:p>
    <w:p>
      <w:pPr>
        <w:adjustRightInd w:val="0"/>
        <w:snapToGrid w:val="0"/>
        <w:spacing w:line="360" w:lineRule="auto"/>
        <w:ind w:left="636" w:leftChars="200" w:hanging="216" w:hangingChars="103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hint="eastAsia" w:ascii="宋体" w:hAnsi="宋体" w:cs="宋体"/>
        </w:rPr>
        <w:t>同时具有水泥熟料生产、水泥粉磨的企业，按照可比水泥综合电耗确定加价标准。</w:t>
      </w:r>
    </w:p>
    <w:p>
      <w:pPr>
        <w:adjustRightInd w:val="0"/>
        <w:snapToGrid w:val="0"/>
        <w:spacing w:line="360" w:lineRule="auto"/>
        <w:ind w:left="636" w:leftChars="200" w:hanging="216" w:hangingChars="103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</w:rPr>
        <w:t>4.</w:t>
      </w:r>
      <w:r>
        <w:rPr>
          <w:rFonts w:hint="eastAsia" w:ascii="FangSong_GB2312" w:hAnsi="FangSong_GB2312" w:cs="宋体"/>
          <w:color w:val="000000"/>
          <w:kern w:val="0"/>
        </w:rPr>
        <w:t>此表可加附页。</w:t>
      </w:r>
    </w:p>
    <w:p>
      <w:pPr>
        <w:widowControl/>
        <w:jc w:val="left"/>
        <w:rPr>
          <w:rFonts w:ascii="宋体" w:cs="Times New Roman"/>
          <w:b/>
          <w:bCs/>
          <w:sz w:val="30"/>
          <w:szCs w:val="30"/>
        </w:rPr>
      </w:pPr>
      <w:r>
        <w:rPr>
          <w:rFonts w:ascii="宋体" w:cs="Times New Roman"/>
          <w:b/>
          <w:bCs/>
          <w:sz w:val="30"/>
          <w:szCs w:val="30"/>
        </w:rPr>
        <w:br w:type="page"/>
      </w:r>
    </w:p>
    <w:p>
      <w:pPr>
        <w:rPr>
          <w:rFonts w:ascii="仿宋_GB2312" w:hAnsi="黑体" w:eastAsia="仿宋_GB2312" w:cs="仿宋_GB2312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附表</w:t>
      </w:r>
      <w:r>
        <w:rPr>
          <w:rFonts w:ascii="仿宋_GB2312" w:hAnsi="黑体" w:eastAsia="仿宋_GB2312" w:cs="仿宋_GB2312"/>
          <w:b/>
          <w:bCs/>
          <w:sz w:val="30"/>
          <w:szCs w:val="30"/>
        </w:rPr>
        <w:t>3</w:t>
      </w:r>
    </w:p>
    <w:p>
      <w:pPr>
        <w:spacing w:before="120" w:beforeLines="50" w:after="120" w:afterLines="50"/>
        <w:jc w:val="center"/>
        <w:rPr>
          <w:rFonts w:ascii="仿宋_GB2312" w:hAnsi="黑体" w:eastAsia="仿宋_GB2312" w:cs="Times New Roman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水泥生产企业主要用电设备表</w:t>
      </w:r>
    </w:p>
    <w:p>
      <w:pPr>
        <w:spacing w:before="120" w:beforeLines="50" w:after="120" w:afterLines="50"/>
        <w:jc w:val="center"/>
        <w:rPr>
          <w:rFonts w:ascii="仿宋_GB2312" w:hAnsi="黑体" w:eastAsia="仿宋_GB2312" w:cs="Times New Roman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企业名称（盖章）：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 xml:space="preserve">                              </w:t>
      </w: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核查年度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>:</w:t>
      </w:r>
    </w:p>
    <w:tbl>
      <w:tblPr>
        <w:tblStyle w:val="3"/>
        <w:tblW w:w="100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92"/>
        <w:gridCol w:w="1558"/>
        <w:gridCol w:w="1322"/>
        <w:gridCol w:w="1526"/>
        <w:gridCol w:w="709"/>
        <w:gridCol w:w="1271"/>
        <w:gridCol w:w="1134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设备名称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规格型号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配套电机型号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配套电机功率（千瓦）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数量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年运行时间（小时）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所在工序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破碎设备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煅烧设备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粉磨设备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风机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</w:tc>
      </w:tr>
    </w:tbl>
    <w:p>
      <w:pPr>
        <w:autoSpaceDE w:val="0"/>
        <w:autoSpaceDN w:val="0"/>
        <w:adjustRightInd w:val="0"/>
        <w:spacing w:before="120" w:beforeLines="50" w:after="120" w:afterLines="50"/>
        <w:jc w:val="left"/>
        <w:rPr>
          <w:rFonts w:ascii="宋体" w:cs="Times New Roman"/>
          <w:sz w:val="24"/>
          <w:szCs w:val="24"/>
        </w:rPr>
      </w:pPr>
      <w:r>
        <w:rPr>
          <w:rFonts w:hint="eastAsia" w:ascii="FangSong_GB2312" w:hAnsi="FangSong_GB2312" w:cs="宋体"/>
          <w:color w:val="000000"/>
          <w:kern w:val="0"/>
        </w:rPr>
        <w:t>填报人：</w:t>
      </w:r>
      <w:r>
        <w:rPr>
          <w:rFonts w:ascii="FangSong_GB2312" w:hAnsi="FangSong_GB2312" w:cs="FangSong_GB2312"/>
          <w:color w:val="000000"/>
          <w:kern w:val="0"/>
        </w:rPr>
        <w:t xml:space="preserve">          </w:t>
      </w:r>
      <w:r>
        <w:rPr>
          <w:rFonts w:hint="eastAsia" w:ascii="FangSong_GB2312" w:hAnsi="FangSong_GB2312" w:cs="宋体"/>
          <w:color w:val="000000"/>
          <w:kern w:val="0"/>
        </w:rPr>
        <w:t>填报负责人：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</w:t>
      </w:r>
      <w:r>
        <w:rPr>
          <w:rFonts w:hint="eastAsia" w:ascii="FangSong_GB2312" w:hAnsi="FangSong_GB2312" w:cs="宋体"/>
          <w:color w:val="000000"/>
          <w:kern w:val="0"/>
        </w:rPr>
        <w:t>单位负责人：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  </w:t>
      </w:r>
      <w:r>
        <w:rPr>
          <w:rFonts w:hint="eastAsia" w:ascii="FangSong_GB2312" w:hAnsi="FangSong_GB2312" w:cs="宋体"/>
          <w:color w:val="000000"/>
          <w:kern w:val="0"/>
        </w:rPr>
        <w:t>填报日期：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年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月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日</w:t>
      </w:r>
    </w:p>
    <w:p>
      <w:pPr>
        <w:spacing w:before="120" w:beforeLines="50" w:after="120" w:afterLines="50"/>
        <w:rPr>
          <w:rFonts w:ascii="宋体" w:cs="Times New Roman"/>
          <w:sz w:val="24"/>
          <w:szCs w:val="24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  <w:r>
        <w:rPr>
          <w:rFonts w:hint="eastAsia" w:ascii="FangSong_GB2312" w:hAnsi="FangSong_GB2312" w:cs="宋体"/>
          <w:color w:val="000000"/>
          <w:kern w:val="0"/>
        </w:rPr>
        <w:t>注：此表可加附页。</w:t>
      </w:r>
    </w:p>
    <w:p>
      <w:pPr>
        <w:rPr>
          <w:rFonts w:ascii="仿宋_GB2312" w:hAnsi="黑体" w:eastAsia="仿宋_GB2312" w:cs="仿宋_GB2312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附表</w:t>
      </w:r>
      <w:r>
        <w:rPr>
          <w:rFonts w:ascii="仿宋_GB2312" w:hAnsi="黑体" w:eastAsia="仿宋_GB2312" w:cs="仿宋_GB2312"/>
          <w:b/>
          <w:bCs/>
          <w:sz w:val="30"/>
          <w:szCs w:val="30"/>
        </w:rPr>
        <w:t>4</w:t>
      </w:r>
    </w:p>
    <w:p>
      <w:pPr>
        <w:spacing w:before="120" w:beforeLines="50" w:after="120" w:afterLines="50"/>
        <w:jc w:val="center"/>
        <w:rPr>
          <w:rFonts w:ascii="仿宋_GB2312" w:hAnsi="黑体" w:eastAsia="仿宋_GB2312" w:cs="Times New Roman"/>
          <w:b/>
          <w:bCs/>
          <w:sz w:val="30"/>
          <w:szCs w:val="30"/>
        </w:rPr>
      </w:pPr>
      <w:r>
        <w:rPr>
          <w:rFonts w:hint="eastAsia" w:ascii="仿宋_GB2312" w:hAnsi="黑体" w:eastAsia="仿宋_GB2312" w:cs="仿宋_GB2312"/>
          <w:b/>
          <w:bCs/>
          <w:sz w:val="30"/>
          <w:szCs w:val="30"/>
        </w:rPr>
        <w:t>水泥企业电力消耗统计表</w:t>
      </w:r>
    </w:p>
    <w:p>
      <w:pPr>
        <w:spacing w:before="120" w:beforeLines="50" w:after="120" w:afterLines="50"/>
        <w:ind w:firstLine="829" w:firstLineChars="295"/>
        <w:rPr>
          <w:rFonts w:ascii="仿宋_GB2312" w:hAnsi="黑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企业名称（盖章）：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 xml:space="preserve">                                                </w:t>
      </w:r>
      <w:r>
        <w:rPr>
          <w:rFonts w:hint="eastAsia" w:ascii="仿宋_GB2312" w:hAnsi="黑体" w:eastAsia="仿宋_GB2312" w:cs="仿宋_GB2312"/>
          <w:b/>
          <w:bCs/>
          <w:sz w:val="28"/>
          <w:szCs w:val="28"/>
        </w:rPr>
        <w:t>核查年度</w:t>
      </w:r>
      <w:r>
        <w:rPr>
          <w:rFonts w:ascii="仿宋_GB2312" w:hAnsi="黑体" w:eastAsia="仿宋_GB2312" w:cs="仿宋_GB2312"/>
          <w:b/>
          <w:bCs/>
          <w:sz w:val="28"/>
          <w:szCs w:val="28"/>
        </w:rPr>
        <w:t>:</w:t>
      </w:r>
    </w:p>
    <w:tbl>
      <w:tblPr>
        <w:tblStyle w:val="3"/>
        <w:tblW w:w="137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700"/>
        <w:gridCol w:w="3451"/>
        <w:gridCol w:w="2126"/>
        <w:gridCol w:w="411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产品量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熟料　</w:t>
            </w: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总产量</w:t>
            </w:r>
            <w:r>
              <w:rPr>
                <w:rFonts w:ascii="Times New Roman" w:hAnsi="宋体" w:eastAsia="宋体" w:cs="Times New Roman"/>
                <w:sz w:val="21"/>
                <w:szCs w:val="21"/>
              </w:rPr>
              <w:t xml:space="preserve">Pcl 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（吨）</w:t>
            </w:r>
            <w:r>
              <w:rPr>
                <w:rFonts w:ascii="Times New Roman" w:hAnsi="宋体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水泥生产消耗</w:t>
            </w:r>
            <w:r>
              <w:rPr>
                <w:rFonts w:ascii="Times New Roman" w:hAnsi="宋体" w:eastAsia="宋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自产熟料量（吨）</w:t>
            </w:r>
            <w:r>
              <w:rPr>
                <w:rFonts w:ascii="Times New Roman" w:hAnsi="宋体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外售</w:t>
            </w:r>
            <w:r>
              <w:rPr>
                <w:rFonts w:ascii="Times New Roman" w:hAnsi="宋体" w:eastAsia="宋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（吨）</w:t>
            </w:r>
            <w:r>
              <w:rPr>
                <w:rFonts w:ascii="Times New Roman" w:hAnsi="宋体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库存（吨）：</w:t>
            </w:r>
            <w:r>
              <w:rPr>
                <w:rFonts w:ascii="Times New Roman" w:hAnsi="宋体" w:eastAsia="宋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（期末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-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期初）</w:t>
            </w:r>
            <w:r>
              <w:rPr>
                <w:rFonts w:ascii="Times New Roman" w:hAnsi="宋体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水泥总产量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Pc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（吨）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eastAsia="宋体" w:cs="宋体"/>
                <w:sz w:val="21"/>
                <w:szCs w:val="21"/>
              </w:rPr>
              <w:t>水泥生产消耗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外购熟料量（吨）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宋体" w:cs="宋体"/>
                <w:kern w:val="0"/>
              </w:rPr>
              <w:t>企业总电耗（</w:t>
            </w:r>
            <w:r>
              <w:rPr>
                <w:rFonts w:hint="eastAsia" w:ascii="Times New Roman" w:hAnsi="Times New Roman" w:cs="宋体"/>
                <w:kern w:val="0"/>
              </w:rPr>
              <w:t>千瓦时</w:t>
            </w:r>
            <w:r>
              <w:rPr>
                <w:rFonts w:hint="eastAsia" w:ascii="Times New Roman" w:hAnsi="宋体" w:cs="宋体"/>
                <w:kern w:val="0"/>
              </w:rPr>
              <w:t>）</w:t>
            </w: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生产各过程及辅助生产的总电耗（千瓦时）</w:t>
            </w:r>
          </w:p>
        </w:tc>
        <w:tc>
          <w:tcPr>
            <w:tcW w:w="5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产品电耗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熟料</w:t>
            </w: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生料工段电耗（千瓦时）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烧成工段电耗（千瓦时）　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辅助生产电耗（千瓦时）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水泥窑协同处置电耗（千瓦时）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其他电耗</w:t>
            </w:r>
            <w:r>
              <w:rPr>
                <w:rFonts w:hint="eastAsia" w:ascii="Times New Roman" w:hAnsi="宋体" w:cs="宋体"/>
                <w:color w:val="000000"/>
                <w:kern w:val="0"/>
                <w:lang w:eastAsia="zh-CN"/>
              </w:rPr>
              <w:t>（非生产）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余热发电机组发电量（千瓦时）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余热发电机组自用电量（千瓦时）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余热发电机组供电量（千瓦时）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熟料综合电耗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Qcl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/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吨）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</w:t>
            </w: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水泥粉磨、包装过程耗电量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qfm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吨混合材预处理平均耗电量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qm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混合材消耗量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pm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（吨）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吨石膏平均耗电量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qg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/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吨）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石膏消耗量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pg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（吨）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应分摊的辅助生产用电量</w:t>
            </w:r>
            <w:r>
              <w:rPr>
                <w:rFonts w:ascii="Times New Roman" w:hAnsi="宋体" w:cs="Times New Roman"/>
                <w:color w:val="000000"/>
                <w:kern w:val="0"/>
              </w:rPr>
              <w:t>qfz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其他电耗</w:t>
            </w:r>
            <w:r>
              <w:rPr>
                <w:rFonts w:hint="eastAsia" w:ascii="Times New Roman" w:hAnsi="宋体" w:cs="宋体"/>
                <w:color w:val="000000"/>
                <w:kern w:val="0"/>
                <w:lang w:eastAsia="zh-CN"/>
              </w:rPr>
              <w:t>（非生产）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（千瓦时）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水泥生产总耗电量（千瓦时）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水泥综合电耗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Qs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千瓦时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/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吨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5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position w:val="-14"/>
              </w:rPr>
              <w:drawing>
                <wp:inline distT="0" distB="0" distL="114300" distR="114300">
                  <wp:extent cx="2496185" cy="219710"/>
                  <wp:effectExtent l="0" t="0" r="18415" b="762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185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修正值</w:t>
            </w: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当地环境大气压力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P</w:t>
            </w:r>
            <w:r>
              <w:rPr>
                <w:rFonts w:ascii="Times New Roman" w:hAnsi="Times New Roman" w:cs="Times New Roman"/>
                <w:color w:val="000000"/>
                <w:kern w:val="0"/>
                <w:vertAlign w:val="subscript"/>
              </w:rPr>
              <w:t>H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Pa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修正系数</w:t>
            </w:r>
            <w:r>
              <w:rPr>
                <w:rFonts w:hint="eastAsia" w:cs="Times New Roman"/>
                <w:position w:val="-32"/>
              </w:rPr>
              <w:drawing>
                <wp:inline distT="0" distB="0" distL="114300" distR="114300">
                  <wp:extent cx="521335" cy="438785"/>
                  <wp:effectExtent l="0" t="0" r="12065" b="1841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43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</w:rPr>
              <w:t>统计期内熟料平均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28d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抗压强度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A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MPa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修正系数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instrText xml:space="preserve"> QUOTE </w:instrText>
            </w:r>
            <w:r>
              <w:rPr>
                <w:rFonts w:hint="eastAsia" w:cs="Times New Roman"/>
                <w:position w:val="-21"/>
              </w:rPr>
              <w:drawing>
                <wp:inline distT="0" distB="0" distL="114300" distR="114300">
                  <wp:extent cx="552450" cy="400050"/>
                  <wp:effectExtent l="0" t="0" r="0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fldChar w:fldCharType="end"/>
            </w:r>
            <w:r>
              <w:rPr>
                <w:rFonts w:hint="eastAsia" w:ascii="仿宋" w:hAnsi="仿宋" w:eastAsia="仿宋" w:cs="Times New Roman"/>
                <w:position w:val="-26"/>
                <w:sz w:val="32"/>
                <w:szCs w:val="32"/>
              </w:rPr>
              <w:drawing>
                <wp:inline distT="0" distB="0" distL="114300" distR="114300">
                  <wp:extent cx="658495" cy="328930"/>
                  <wp:effectExtent l="0" t="0" r="8255" b="13970"/>
                  <wp:docPr id="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9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</w:rPr>
              <w:t>统计期内水泥加权平均强度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B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MPa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ascii="Times New Roman" w:hAnsi="宋体" w:cs="Times New Roman"/>
                <w:color w:val="000000"/>
                <w:kern w:val="0"/>
              </w:rPr>
              <w:t xml:space="preserve">  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修正系数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instrText xml:space="preserve"> QUOTE </w:instrText>
            </w:r>
            <w:r>
              <w:rPr>
                <w:rFonts w:hint="eastAsia" w:cs="Times New Roman"/>
                <w:position w:val="-21"/>
              </w:rPr>
              <w:drawing>
                <wp:inline distT="0" distB="0" distL="114300" distR="114300">
                  <wp:extent cx="561975" cy="400050"/>
                  <wp:effectExtent l="0" t="0" r="9525" b="0"/>
                  <wp:docPr id="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fldChar w:fldCharType="end"/>
            </w:r>
            <w:r>
              <w:rPr>
                <w:rFonts w:hint="eastAsia" w:ascii="仿宋" w:hAnsi="仿宋" w:eastAsia="仿宋" w:cs="Times New Roman"/>
                <w:position w:val="-26"/>
                <w:sz w:val="32"/>
                <w:szCs w:val="32"/>
              </w:rPr>
              <w:drawing>
                <wp:inline distT="0" distB="0" distL="114300" distR="114300">
                  <wp:extent cx="658495" cy="328930"/>
                  <wp:effectExtent l="0" t="0" r="8255" b="13970"/>
                  <wp:docPr id="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9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水泥中熟料综合占比（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%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可比单位产品综合电耗</w:t>
            </w: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可比熟料综合电耗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Q</w:t>
            </w:r>
            <w:r>
              <w:rPr>
                <w:rFonts w:ascii="Times New Roman" w:hAnsi="Times New Roman" w:cs="Times New Roman"/>
                <w:color w:val="000000"/>
                <w:kern w:val="0"/>
                <w:vertAlign w:val="subscript"/>
              </w:rPr>
              <w:t>kcl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千瓦时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/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吨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5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eastAsia="仿宋" w:cs="Times New Roman"/>
                <w:position w:val="-12"/>
              </w:rPr>
              <w:drawing>
                <wp:inline distT="0" distB="0" distL="114300" distR="114300">
                  <wp:extent cx="768350" cy="109855"/>
                  <wp:effectExtent l="0" t="0" r="0" b="3810"/>
                  <wp:docPr id="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50" cy="109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可比水泥综合电耗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Q</w:t>
            </w:r>
            <w:r>
              <w:rPr>
                <w:rFonts w:ascii="Times New Roman" w:hAnsi="Times New Roman" w:cs="Times New Roman"/>
                <w:color w:val="000000"/>
                <w:kern w:val="0"/>
                <w:vertAlign w:val="subscript"/>
              </w:rPr>
              <w:t>ks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（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千瓦时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/</w:t>
            </w:r>
            <w:r>
              <w:rPr>
                <w:rFonts w:hint="eastAsia" w:ascii="Times New Roman" w:hAnsi="Times New Roman" w:cs="宋体"/>
                <w:color w:val="000000"/>
                <w:kern w:val="0"/>
              </w:rPr>
              <w:t>吨</w:t>
            </w:r>
            <w:r>
              <w:rPr>
                <w:rFonts w:hint="eastAsia" w:ascii="Times New Roman" w:hAnsi="宋体" w:cs="宋体"/>
                <w:color w:val="000000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</w:rPr>
              <w:t>　</w:t>
            </w:r>
          </w:p>
        </w:tc>
        <w:tc>
          <w:tcPr>
            <w:tcW w:w="5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仿宋" w:hAnsi="仿宋" w:eastAsia="仿宋" w:cs="Times New Roman"/>
                <w:i/>
                <w:iCs/>
                <w:position w:val="-12"/>
                <w:sz w:val="32"/>
                <w:szCs w:val="32"/>
                <w:vertAlign w:val="subscript"/>
              </w:rPr>
              <w:drawing>
                <wp:inline distT="0" distB="0" distL="114300" distR="114300">
                  <wp:extent cx="740410" cy="109855"/>
                  <wp:effectExtent l="0" t="0" r="2540" b="3810"/>
                  <wp:docPr id="1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109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420" w:firstLineChars="200"/>
        <w:rPr>
          <w:rFonts w:cs="Times New Roman"/>
        </w:rPr>
      </w:pPr>
    </w:p>
    <w:p>
      <w:pPr>
        <w:autoSpaceDE w:val="0"/>
        <w:autoSpaceDN w:val="0"/>
        <w:adjustRightInd w:val="0"/>
        <w:spacing w:before="120" w:beforeLines="50" w:after="120" w:afterLines="50"/>
        <w:ind w:firstLine="420" w:firstLineChars="200"/>
        <w:jc w:val="left"/>
        <w:rPr>
          <w:rFonts w:ascii="FangSong_GB2312" w:hAnsi="FangSong_GB2312" w:cs="FangSong_GB2312"/>
          <w:color w:val="000000"/>
          <w:kern w:val="0"/>
        </w:rPr>
      </w:pPr>
      <w:r>
        <w:rPr>
          <w:rFonts w:hint="eastAsia" w:ascii="FangSong_GB2312" w:hAnsi="FangSong_GB2312" w:cs="宋体"/>
          <w:color w:val="000000"/>
          <w:kern w:val="0"/>
        </w:rPr>
        <w:t>填报人：</w:t>
      </w:r>
      <w:r>
        <w:rPr>
          <w:rFonts w:ascii="FangSong_GB2312" w:hAnsi="FangSong_GB2312" w:cs="FangSong_GB2312"/>
          <w:color w:val="000000"/>
          <w:kern w:val="0"/>
        </w:rPr>
        <w:t xml:space="preserve">                    </w:t>
      </w:r>
      <w:r>
        <w:rPr>
          <w:rFonts w:hint="eastAsia" w:ascii="FangSong_GB2312" w:hAnsi="FangSong_GB2312" w:cs="宋体"/>
          <w:color w:val="000000"/>
          <w:kern w:val="0"/>
        </w:rPr>
        <w:t>填报负责人：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               </w:t>
      </w:r>
      <w:r>
        <w:rPr>
          <w:rFonts w:hint="eastAsia" w:ascii="FangSong_GB2312" w:hAnsi="FangSong_GB2312" w:cs="宋体"/>
          <w:color w:val="000000"/>
          <w:kern w:val="0"/>
        </w:rPr>
        <w:t>单位负责人：</w:t>
      </w:r>
      <w:r>
        <w:rPr>
          <w:rFonts w:ascii="FangSong_GB2312" w:hAnsi="FangSong_GB2312" w:cs="FangSong_GB2312"/>
          <w:color w:val="000000"/>
          <w:kern w:val="0"/>
        </w:rPr>
        <w:t xml:space="preserve">                       </w:t>
      </w:r>
      <w:r>
        <w:rPr>
          <w:rFonts w:hint="eastAsia" w:ascii="FangSong_GB2312" w:hAnsi="FangSong_GB2312" w:cs="宋体"/>
          <w:color w:val="000000"/>
          <w:kern w:val="0"/>
        </w:rPr>
        <w:t>填报日期：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年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月</w:t>
      </w:r>
      <w:r>
        <w:rPr>
          <w:rFonts w:ascii="FangSong_GB2312" w:hAnsi="FangSong_GB2312" w:cs="FangSong_GB2312"/>
          <w:color w:val="000000"/>
          <w:kern w:val="0"/>
        </w:rPr>
        <w:t xml:space="preserve">   </w:t>
      </w:r>
      <w:r>
        <w:rPr>
          <w:rFonts w:hint="eastAsia" w:ascii="FangSong_GB2312" w:hAnsi="FangSong_GB2312" w:cs="宋体"/>
          <w:color w:val="000000"/>
          <w:kern w:val="0"/>
        </w:rPr>
        <w:t>日</w:t>
      </w:r>
    </w:p>
    <w:p>
      <w:pPr>
        <w:ind w:firstLine="420" w:firstLineChars="200"/>
        <w:rPr>
          <w:rFonts w:cs="Times New Roman"/>
        </w:rPr>
      </w:pP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86F4F"/>
    <w:rsid w:val="01886F4F"/>
    <w:rsid w:val="138E0D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S" w:hAnsi="Times New Roman" w:eastAsia="FZXiaoBiaoSong-B05S" w:cs="FZXiaoBiaoSong-B05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png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2017-03-21T00:58:00Z</dcterms:created>
  <dc:creator>gdzym</dc:creator>
  <cp:lastModifiedBy>gdzym</cp:lastModifiedBy>
  <dcterms:modified xsi:type="dcterms:W3CDTF">2017-03-21T01:01:19Z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